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180" w:beforeAutospacing="0" w:after="360" w:afterAutospacing="0" w:line="450" w:lineRule="atLeast"/>
        <w:ind w:left="260" w:right="0"/>
        <w:jc w:val="center"/>
        <w:rPr>
          <w:rFonts w:hint="eastAsia" w:asciiTheme="minorEastAsia" w:hAnsiTheme="minorEastAsia" w:eastAsiaTheme="minorEastAsia" w:cstheme="minorEastAsia"/>
          <w:b/>
          <w:color w:val="333333"/>
          <w:sz w:val="28"/>
          <w:szCs w:val="28"/>
        </w:rPr>
      </w:pPr>
      <w:r>
        <w:rPr>
          <w:rFonts w:hint="eastAsia" w:asciiTheme="minorEastAsia" w:hAnsiTheme="minorEastAsia" w:eastAsiaTheme="minorEastAsia" w:cstheme="minorEastAsia"/>
          <w:b/>
          <w:color w:val="333333"/>
          <w:sz w:val="36"/>
          <w:szCs w:val="36"/>
          <w:lang w:val="en-US" w:eastAsia="zh-CN"/>
        </w:rPr>
        <w:t>201</w:t>
      </w:r>
      <w:r>
        <w:rPr>
          <w:rFonts w:hint="eastAsia" w:asciiTheme="minorEastAsia" w:hAnsiTheme="minorEastAsia" w:cstheme="minorEastAsia"/>
          <w:b/>
          <w:color w:val="333333"/>
          <w:sz w:val="36"/>
          <w:szCs w:val="36"/>
          <w:lang w:val="en-US" w:eastAsia="zh-CN"/>
        </w:rPr>
        <w:t>8</w:t>
      </w:r>
      <w:r>
        <w:rPr>
          <w:rFonts w:hint="eastAsia" w:asciiTheme="minorEastAsia" w:hAnsiTheme="minorEastAsia" w:eastAsiaTheme="minorEastAsia" w:cstheme="minorEastAsia"/>
          <w:b/>
          <w:color w:val="333333"/>
          <w:sz w:val="36"/>
          <w:szCs w:val="36"/>
          <w:lang w:val="en-US" w:eastAsia="zh-CN"/>
        </w:rPr>
        <w:t>年度</w:t>
      </w:r>
      <w:r>
        <w:rPr>
          <w:rFonts w:hint="eastAsia" w:asciiTheme="minorEastAsia" w:hAnsiTheme="minorEastAsia" w:cstheme="minorEastAsia"/>
          <w:b/>
          <w:color w:val="333333"/>
          <w:sz w:val="36"/>
          <w:szCs w:val="36"/>
          <w:lang w:val="en-US" w:eastAsia="zh-CN"/>
        </w:rPr>
        <w:t>粮食局</w:t>
      </w:r>
      <w:r>
        <w:rPr>
          <w:rFonts w:hint="eastAsia" w:asciiTheme="minorEastAsia" w:hAnsiTheme="minorEastAsia" w:eastAsiaTheme="minorEastAsia" w:cstheme="minorEastAsia"/>
          <w:b/>
          <w:color w:val="333333"/>
          <w:sz w:val="36"/>
          <w:szCs w:val="36"/>
          <w:lang w:val="en-US" w:eastAsia="zh-CN"/>
        </w:rPr>
        <w:t>决算文字说明</w:t>
      </w:r>
    </w:p>
    <w:p>
      <w:pPr>
        <w:pStyle w:val="2"/>
        <w:keepNext w:val="0"/>
        <w:keepLines w:val="0"/>
        <w:widowControl/>
        <w:suppressLineNumbers w:val="0"/>
        <w:spacing w:before="180" w:beforeAutospacing="0" w:after="360" w:afterAutospacing="0" w:line="450" w:lineRule="atLeast"/>
        <w:ind w:left="26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第一部分 部门概况</w:t>
      </w:r>
    </w:p>
    <w:p>
      <w:pPr>
        <w:pStyle w:val="2"/>
        <w:keepNext w:val="0"/>
        <w:keepLines w:val="0"/>
        <w:widowControl/>
        <w:suppressLineNumbers w:val="0"/>
        <w:tabs>
          <w:tab w:val="left" w:pos="840"/>
        </w:tabs>
        <w:spacing w:before="180" w:beforeAutospacing="0" w:after="360" w:afterAutospacing="0" w:line="450" w:lineRule="atLeast"/>
        <w:ind w:left="0" w:leftChars="0" w:right="0" w:firstLine="1060" w:firstLineChars="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一、主要职能</w:t>
      </w:r>
      <w:bookmarkStart w:id="0" w:name="_GoBack"/>
      <w:bookmarkEnd w:id="0"/>
    </w:p>
    <w:p>
      <w:pPr>
        <w:pStyle w:val="2"/>
        <w:keepNext w:val="0"/>
        <w:keepLines w:val="0"/>
        <w:widowControl/>
        <w:suppressLineNumbers w:val="0"/>
        <w:spacing w:before="180" w:beforeAutospacing="0" w:after="360" w:afterAutospacing="0" w:line="450" w:lineRule="atLeast"/>
        <w:ind w:left="17" w:leftChars="8" w:right="0" w:firstLine="1002" w:firstLineChars="358"/>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shd w:val="clear" w:fill="FFFFFF"/>
        </w:rPr>
        <w:t>（</w:t>
      </w:r>
      <w:r>
        <w:rPr>
          <w:rFonts w:hint="eastAsia" w:asciiTheme="minorEastAsia" w:hAnsiTheme="minorEastAsia" w:eastAsiaTheme="minorEastAsia" w:cstheme="minorEastAsia"/>
          <w:color w:val="333333"/>
          <w:sz w:val="28"/>
          <w:szCs w:val="28"/>
        </w:rPr>
        <w:t>一）</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贯彻执行国家和省、市有关粮食工作的方针、政策和行业管理法律法规，拟订有关规章草案并组织实施</w:t>
      </w:r>
      <w:r>
        <w:rPr>
          <w:rFonts w:hint="eastAsia" w:asciiTheme="minorEastAsia" w:hAnsiTheme="minorEastAsia" w:eastAsia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负责全县粮食流通行业管理，承担粮食监测预警和应急责任</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br w:type="textWrapping"/>
      </w:r>
      <w:r>
        <w:rPr>
          <w:rFonts w:hint="eastAsia" w:asciiTheme="minorEastAsia" w:hAnsiTheme="minorEastAsia" w:eastAsiaTheme="minorEastAsia" w:cstheme="minorEastAsia"/>
          <w:color w:val="333333"/>
          <w:sz w:val="28"/>
          <w:szCs w:val="28"/>
        </w:rPr>
        <w:t xml:space="preserve">    </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（三）</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贯彻国家粮食价格政策和质量标准，会同有关部门管理粮食商品质量监测和市场粮价监控</w:t>
      </w:r>
      <w:r>
        <w:rPr>
          <w:rFonts w:hint="eastAsia" w:asciiTheme="minorEastAsia" w:hAnsiTheme="minorEastAsia" w:eastAsiaTheme="minorEastAsia" w:cstheme="minorEastAsia"/>
          <w:color w:val="333333"/>
          <w:sz w:val="28"/>
          <w:szCs w:val="28"/>
          <w:lang w:eastAsia="zh-CN"/>
        </w:rPr>
        <w:t>；</w:t>
      </w:r>
    </w:p>
    <w:p>
      <w:pPr>
        <w:pStyle w:val="2"/>
        <w:keepNext w:val="0"/>
        <w:keepLines w:val="0"/>
        <w:widowControl/>
        <w:suppressLineNumbers w:val="0"/>
        <w:spacing w:before="180" w:beforeAutospacing="0" w:after="360" w:afterAutospacing="0" w:line="450" w:lineRule="atLeast"/>
        <w:ind w:right="0" w:firstLine="840" w:firstLineChars="300"/>
        <w:jc w:val="left"/>
        <w:rPr>
          <w:rFonts w:hint="eastAsia" w:asciiTheme="minorEastAsia" w:hAnsiTheme="minorEastAsia" w:eastAsiaTheme="minorEastAsia" w:cstheme="minorEastAsia"/>
          <w:color w:val="333333"/>
          <w:sz w:val="28"/>
          <w:szCs w:val="28"/>
        </w:rPr>
      </w:pPr>
      <w:r>
        <w:rPr>
          <w:rFonts w:hint="eastAsia" w:asciiTheme="minorEastAsia" w:hAnsiTheme="minorEastAsia" w:eastAsiaTheme="minorEastAsia" w:cstheme="minorEastAsia"/>
          <w:color w:val="333333"/>
          <w:sz w:val="28"/>
          <w:szCs w:val="28"/>
        </w:rPr>
        <w:t>（四） 负责救灾粮、军队用粮、食用盐等政府性粮食的管理和供应</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负责粮食行业招商引资和食品安全工作</w:t>
      </w:r>
      <w:r>
        <w:rPr>
          <w:rFonts w:hint="eastAsia" w:asciiTheme="minorEastAsia" w:hAnsiTheme="minorEastAsia" w:eastAsiaTheme="minorEastAsia" w:cstheme="minorEastAsia"/>
          <w:color w:val="333333"/>
          <w:sz w:val="28"/>
          <w:szCs w:val="28"/>
          <w:lang w:eastAsia="zh-CN"/>
        </w:rPr>
        <w:t>；</w:t>
      </w:r>
      <w:r>
        <w:rPr>
          <w:rFonts w:hint="eastAsia" w:asciiTheme="minorEastAsia" w:hAnsiTheme="minorEastAsia" w:eastAsiaTheme="minorEastAsia" w:cstheme="minorEastAsia"/>
          <w:color w:val="333333"/>
          <w:sz w:val="28"/>
          <w:szCs w:val="28"/>
        </w:rPr>
        <w:t>承办县政府交办的其他事项。</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二、机构设置及部门决算单位构成</w:t>
      </w:r>
    </w:p>
    <w:p>
      <w:pPr>
        <w:pStyle w:val="2"/>
        <w:keepNext w:val="0"/>
        <w:keepLines w:val="0"/>
        <w:widowControl/>
        <w:suppressLineNumbers w:val="0"/>
        <w:spacing w:before="180" w:beforeAutospacing="0" w:after="360" w:afterAutospacing="0" w:line="450" w:lineRule="atLeast"/>
        <w:ind w:right="0" w:firstLine="1120" w:firstLineChars="4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为全额行政单位，内设</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5</w:t>
      </w:r>
      <w:r>
        <w:rPr>
          <w:rFonts w:hint="eastAsia" w:asciiTheme="minorEastAsia" w:hAnsiTheme="minorEastAsia" w:eastAsiaTheme="minorEastAsia" w:cstheme="minorEastAsia"/>
          <w:color w:val="333333"/>
          <w:sz w:val="28"/>
          <w:szCs w:val="28"/>
        </w:rPr>
        <w:t>个内设机构，为一级预算单位。</w:t>
      </w:r>
    </w:p>
    <w:p>
      <w:pPr>
        <w:pStyle w:val="2"/>
        <w:keepNext w:val="0"/>
        <w:keepLines w:val="0"/>
        <w:widowControl/>
        <w:suppressLineNumbers w:val="0"/>
        <w:spacing w:before="180" w:beforeAutospacing="0" w:after="360" w:afterAutospacing="0" w:line="450" w:lineRule="atLeast"/>
        <w:ind w:left="260" w:right="0" w:firstLine="733"/>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三、人员构成</w:t>
      </w:r>
    </w:p>
    <w:p>
      <w:pPr>
        <w:pStyle w:val="2"/>
        <w:keepNext w:val="0"/>
        <w:keepLines w:val="0"/>
        <w:widowControl/>
        <w:suppressLineNumbers w:val="0"/>
        <w:spacing w:before="180" w:beforeAutospacing="0" w:after="360" w:afterAutospacing="0" w:line="450" w:lineRule="atLeast"/>
        <w:ind w:left="18" w:leftChars="0" w:right="0" w:firstLine="439" w:firstLineChars="15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    行政单位编制数</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个，其中行政编制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10</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人，离休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24</w:t>
      </w:r>
      <w:r>
        <w:rPr>
          <w:rFonts w:hint="eastAsia" w:asciiTheme="minorEastAsia" w:hAnsiTheme="minorEastAsia" w:eastAsiaTheme="minorEastAsia" w:cstheme="minorEastAsia"/>
          <w:color w:val="333333"/>
          <w:sz w:val="28"/>
          <w:szCs w:val="28"/>
        </w:rPr>
        <w:t>人；事业编制</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个，在职</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人，退休</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人。</w:t>
      </w:r>
    </w:p>
    <w:p>
      <w:pPr>
        <w:pStyle w:val="2"/>
        <w:keepNext w:val="0"/>
        <w:keepLines w:val="0"/>
        <w:widowControl/>
        <w:suppressLineNumbers w:val="0"/>
        <w:spacing w:before="492" w:beforeAutospacing="0" w:after="672" w:afterAutospacing="0" w:line="450" w:lineRule="atLeast"/>
        <w:ind w:left="262"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二</w:t>
      </w:r>
      <w:r>
        <w:rPr>
          <w:rFonts w:hint="eastAsia" w:asciiTheme="minorEastAsia" w:hAnsiTheme="minorEastAsia" w:eastAsiaTheme="minorEastAsia" w:cstheme="minorEastAsia"/>
          <w:b/>
          <w:color w:val="333333"/>
          <w:sz w:val="28"/>
          <w:szCs w:val="28"/>
        </w:rPr>
        <w:t>部分201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年度部门决算情况说明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79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年度收入总计</w:t>
      </w:r>
      <w:r>
        <w:rPr>
          <w:rFonts w:hint="eastAsia" w:asciiTheme="minorEastAsia" w:hAnsiTheme="minorEastAsia" w:cstheme="minorEastAsia"/>
          <w:i w:val="0"/>
          <w:caps w:val="0"/>
          <w:color w:val="373737"/>
          <w:spacing w:val="0"/>
          <w:sz w:val="28"/>
          <w:szCs w:val="28"/>
          <w:shd w:val="clear" w:fill="FFFFFF"/>
          <w:vertAlign w:val="baseline"/>
          <w:lang w:val="en-US" w:eastAsia="zh-CN"/>
        </w:rPr>
        <w:t>1492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万元，支出总计</w:t>
      </w:r>
      <w:r>
        <w:rPr>
          <w:rFonts w:hint="eastAsia" w:asciiTheme="minorEastAsia" w:hAnsiTheme="minorEastAsia" w:cstheme="minorEastAsia"/>
          <w:i w:val="0"/>
          <w:caps w:val="0"/>
          <w:color w:val="373737"/>
          <w:spacing w:val="0"/>
          <w:sz w:val="28"/>
          <w:szCs w:val="28"/>
          <w:shd w:val="clear" w:fill="FFFFFF"/>
          <w:vertAlign w:val="baseline"/>
          <w:lang w:val="en-US" w:eastAsia="zh-CN"/>
        </w:rPr>
        <w:t>2065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上年</w:t>
      </w:r>
      <w:r>
        <w:rPr>
          <w:rFonts w:hint="eastAsia" w:asciiTheme="minorEastAsia" w:hAnsiTheme="minorEastAsia" w:eastAsiaTheme="minorEastAsia" w:cstheme="minorEastAsia"/>
          <w:i w:val="0"/>
          <w:caps w:val="0"/>
          <w:color w:val="373737"/>
          <w:spacing w:val="0"/>
          <w:sz w:val="28"/>
          <w:szCs w:val="28"/>
          <w:shd w:val="clear" w:fill="FFFFFF"/>
          <w:vertAlign w:val="baseline"/>
        </w:rPr>
        <w:t>相比，收入总计</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129</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%；支出总计增加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1624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21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 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年度收入决算情况说明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firstLine="70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本年收入合计</w:t>
      </w:r>
      <w:r>
        <w:rPr>
          <w:rFonts w:hint="eastAsia" w:asciiTheme="minorEastAsia" w:hAnsiTheme="minorEastAsia" w:cstheme="minorEastAsia"/>
          <w:i w:val="0"/>
          <w:caps w:val="0"/>
          <w:color w:val="373737"/>
          <w:spacing w:val="0"/>
          <w:sz w:val="28"/>
          <w:szCs w:val="28"/>
          <w:shd w:val="clear" w:fill="FFFFFF"/>
          <w:vertAlign w:val="baseline"/>
          <w:lang w:val="en-US" w:eastAsia="zh-CN"/>
        </w:rPr>
        <w:t>1492</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1346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%；其他收入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10</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5" w:leftChars="0" w:right="0" w:firstLine="82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本年支出合计</w:t>
      </w:r>
      <w:r>
        <w:rPr>
          <w:rFonts w:hint="eastAsia" w:asciiTheme="minorEastAsia" w:hAnsiTheme="minorEastAsia" w:cstheme="minorEastAsia"/>
          <w:i w:val="0"/>
          <w:caps w:val="0"/>
          <w:color w:val="373737"/>
          <w:spacing w:val="0"/>
          <w:sz w:val="28"/>
          <w:szCs w:val="28"/>
          <w:shd w:val="clear" w:fill="FFFFFF"/>
          <w:vertAlign w:val="baseline"/>
          <w:lang w:val="en-US" w:eastAsia="zh-CN"/>
        </w:rPr>
        <w:t>2065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45</w:t>
      </w:r>
      <w:r>
        <w:rPr>
          <w:rFonts w:hint="eastAsia" w:asciiTheme="minorEastAsia" w:hAnsiTheme="minorEastAsia" w:eastAsiaTheme="minorEastAsia" w:cstheme="minorEastAsia"/>
          <w:i w:val="0"/>
          <w:caps w:val="0"/>
          <w:color w:val="373737"/>
          <w:spacing w:val="0"/>
          <w:sz w:val="28"/>
          <w:szCs w:val="28"/>
          <w:shd w:val="clear" w:fill="FFFFFF"/>
          <w:vertAlign w:val="baseline"/>
        </w:rPr>
        <w:t>%；项目支出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1130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55</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四、201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年度财政拨款收入支出决算总体情况说明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270" w:firstLine="705" w:firstLineChars="0"/>
        <w:jc w:val="both"/>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年度财政拨款收入</w:t>
      </w:r>
      <w:r>
        <w:rPr>
          <w:rFonts w:hint="eastAsia" w:asciiTheme="minorEastAsia" w:hAnsiTheme="minorEastAsia" w:cstheme="minorEastAsia"/>
          <w:i w:val="0"/>
          <w:caps w:val="0"/>
          <w:color w:val="373737"/>
          <w:spacing w:val="0"/>
          <w:sz w:val="28"/>
          <w:szCs w:val="28"/>
          <w:shd w:val="clear" w:fill="FFFFFF"/>
          <w:vertAlign w:val="baseline"/>
          <w:lang w:val="en-US" w:eastAsia="zh-CN"/>
        </w:rPr>
        <w:t>1346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275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下降</w:t>
      </w:r>
      <w:r>
        <w:rPr>
          <w:rFonts w:hint="eastAsia" w:asciiTheme="minorEastAsia" w:hAnsiTheme="minorEastAsia" w:cstheme="minorEastAsia"/>
          <w:i w:val="0"/>
          <w:caps w:val="0"/>
          <w:color w:val="373737"/>
          <w:spacing w:val="0"/>
          <w:sz w:val="28"/>
          <w:szCs w:val="28"/>
          <w:shd w:val="clear" w:fill="FFFFFF"/>
          <w:vertAlign w:val="baseline"/>
          <w:lang w:val="en-US" w:eastAsia="zh-CN"/>
        </w:rPr>
        <w:t>20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年相比，增加</w:t>
      </w:r>
      <w:r>
        <w:rPr>
          <w:rFonts w:hint="eastAsia" w:asciiTheme="minorEastAsia" w:hAnsiTheme="minorEastAsia" w:cstheme="minorEastAsia"/>
          <w:i w:val="0"/>
          <w:caps w:val="0"/>
          <w:color w:val="373737"/>
          <w:spacing w:val="0"/>
          <w:sz w:val="28"/>
          <w:szCs w:val="28"/>
          <w:shd w:val="clear" w:fill="FFFFFF"/>
          <w:vertAlign w:val="baseline"/>
          <w:lang w:val="en-US" w:eastAsia="zh-CN"/>
        </w:rPr>
        <w:t>623</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66</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135" w:right="27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五、201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35" w:right="0" w:firstLine="70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（一）财政拨款支出决算总体情况。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5" w:leftChars="0" w:right="0" w:firstLine="85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2040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万元，占本年支出合计的</w:t>
      </w:r>
      <w:r>
        <w:rPr>
          <w:rFonts w:hint="eastAsia" w:asciiTheme="minorEastAsia" w:hAnsiTheme="minorEastAsia" w:cstheme="minorEastAsia"/>
          <w:i w:val="0"/>
          <w:caps w:val="0"/>
          <w:color w:val="373737"/>
          <w:spacing w:val="0"/>
          <w:sz w:val="28"/>
          <w:szCs w:val="28"/>
          <w:shd w:val="clear" w:fill="FFFFFF"/>
          <w:vertAlign w:val="baseline"/>
          <w:lang w:val="en-US" w:eastAsia="zh-CN"/>
        </w:rPr>
        <w:t>98</w:t>
      </w:r>
      <w:r>
        <w:rPr>
          <w:rFonts w:hint="eastAsia" w:asciiTheme="minorEastAsia" w:hAnsiTheme="minorEastAsia" w:eastAsiaTheme="minorEastAsia" w:cstheme="minorEastAsia"/>
          <w:i w:val="0"/>
          <w:caps w:val="0"/>
          <w:color w:val="373737"/>
          <w:spacing w:val="0"/>
          <w:sz w:val="28"/>
          <w:szCs w:val="28"/>
          <w:shd w:val="clear" w:fill="FFFFFF"/>
          <w:vertAlign w:val="baseline"/>
        </w:rPr>
        <w:t>%。与</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年相比，财政拨款支出增加</w:t>
      </w:r>
      <w:r>
        <w:rPr>
          <w:rFonts w:hint="eastAsia" w:asciiTheme="minorEastAsia" w:hAnsiTheme="minorEastAsia" w:cstheme="minorEastAsia"/>
          <w:i w:val="0"/>
          <w:caps w:val="0"/>
          <w:color w:val="373737"/>
          <w:spacing w:val="0"/>
          <w:sz w:val="28"/>
          <w:szCs w:val="28"/>
          <w:shd w:val="clear" w:fill="FFFFFF"/>
          <w:vertAlign w:val="baseline"/>
          <w:lang w:val="en-US" w:eastAsia="zh-CN"/>
        </w:rPr>
        <w:t>1600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78</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（二）财政拨款支出决算结构情况。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1000" w:firstLineChars="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w:t>
      </w:r>
      <w:r>
        <w:rPr>
          <w:rFonts w:hint="eastAsia" w:asciiTheme="minorEastAsia" w:hAnsiTheme="minorEastAsia" w:cstheme="minorEastAsia"/>
          <w:i w:val="0"/>
          <w:caps w:val="0"/>
          <w:color w:val="373737"/>
          <w:spacing w:val="0"/>
          <w:sz w:val="28"/>
          <w:szCs w:val="28"/>
          <w:shd w:val="clear" w:fill="FFFFFF"/>
          <w:vertAlign w:val="baseline"/>
          <w:lang w:val="en-US" w:eastAsia="zh-CN"/>
        </w:rPr>
        <w:t>2040</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万元，主要用于以下方面：</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社会保障和就业（类）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4</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医疗卫生与计划生育（类）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0.17</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农林水（类）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1</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住房保障（类）</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Fonts w:hint="eastAsia" w:asciiTheme="minorEastAsia" w:hAnsiTheme="minorEastAsia" w:cstheme="minorEastAsia"/>
          <w:i w:val="0"/>
          <w:caps w:val="0"/>
          <w:color w:val="373737"/>
          <w:spacing w:val="0"/>
          <w:sz w:val="28"/>
          <w:szCs w:val="28"/>
          <w:shd w:val="clear" w:fill="FFFFFF"/>
          <w:vertAlign w:val="baseline"/>
          <w:lang w:val="en-US" w:eastAsia="zh-CN"/>
        </w:rPr>
        <w:t>0.29</w:t>
      </w:r>
      <w:r>
        <w:rPr>
          <w:rFonts w:hint="eastAsia" w:asciiTheme="minorEastAsia" w:hAnsiTheme="minorEastAsia" w:eastAsiaTheme="minorEastAsia" w:cstheme="minorEastAsia"/>
          <w:i w:val="0"/>
          <w:caps w:val="0"/>
          <w:color w:val="373737"/>
          <w:spacing w:val="0"/>
          <w:sz w:val="28"/>
          <w:szCs w:val="28"/>
          <w:shd w:val="clear" w:fill="FFFFFF"/>
          <w:vertAlign w:val="baseline"/>
        </w:rPr>
        <w:t>%。</w:t>
      </w:r>
      <w:r>
        <w:rPr>
          <w:rFonts w:hint="eastAsia" w:asciiTheme="minorEastAsia" w:hAnsiTheme="minorEastAsia" w:cstheme="minorEastAsia"/>
          <w:i w:val="0"/>
          <w:caps w:val="0"/>
          <w:color w:val="373737"/>
          <w:spacing w:val="0"/>
          <w:sz w:val="28"/>
          <w:szCs w:val="28"/>
          <w:shd w:val="clear" w:fill="FFFFFF"/>
          <w:vertAlign w:val="baseline"/>
          <w:lang w:eastAsia="zh-CN"/>
        </w:rPr>
        <w:t>粮油物资储备支出</w:t>
      </w:r>
      <w:r>
        <w:rPr>
          <w:rFonts w:hint="eastAsia" w:asciiTheme="minorEastAsia" w:hAnsiTheme="minorEastAsia" w:cstheme="minorEastAsia"/>
          <w:i w:val="0"/>
          <w:caps w:val="0"/>
          <w:color w:val="373737"/>
          <w:spacing w:val="0"/>
          <w:sz w:val="28"/>
          <w:szCs w:val="28"/>
          <w:shd w:val="clear" w:fill="FFFFFF"/>
          <w:vertAlign w:val="baseline"/>
          <w:lang w:val="en-US" w:eastAsia="zh-CN"/>
        </w:rPr>
        <w:t>1926万元,占80%。</w:t>
      </w:r>
      <w:r>
        <w:rPr>
          <w:rFonts w:hint="eastAsia" w:asciiTheme="minorEastAsia" w:hAnsiTheme="minorEastAsia" w:cstheme="minorEastAsia"/>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900" w:right="0" w:firstLine="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（三）财政拨款支出决算具体情况。</w:t>
      </w:r>
      <w:r>
        <w:rPr>
          <w:rStyle w:val="4"/>
          <w:rFonts w:hint="eastAsia" w:asciiTheme="minorEastAsia" w:hAnsiTheme="minorEastAsia" w:cstheme="minorEastAsia"/>
          <w:b/>
          <w:i w:val="0"/>
          <w:caps w:val="0"/>
          <w:color w:val="373737"/>
          <w:spacing w:val="0"/>
          <w:sz w:val="28"/>
          <w:szCs w:val="28"/>
          <w:shd w:val="clear" w:fill="FFFFFF"/>
          <w:vertAlign w:val="baseline"/>
          <w:lang w:eastAsia="zh-CN"/>
        </w:rPr>
        <w:t>（根据单位实际科目）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970"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年度财政拨款支出年初预算为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222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422</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%。决算数大于预算数的主要原因：一是201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年在职、离退休职工工资增长了和由于工资的增长相应的医疗保险、住房公积金、住房提租补贴相应的缴交比例也随之增加，所以决算数大于预算数；二是201</w:t>
      </w:r>
      <w:r>
        <w:rPr>
          <w:rFonts w:hint="eastAsia" w:asciiTheme="minorEastAsia" w:hAnsiTheme="minorEastAsia" w:cstheme="minorEastAsia"/>
          <w:i w:val="0"/>
          <w:caps w:val="0"/>
          <w:color w:val="373737"/>
          <w:spacing w:val="0"/>
          <w:sz w:val="28"/>
          <w:szCs w:val="28"/>
          <w:shd w:val="clear" w:fill="FFFFFF"/>
          <w:vertAlign w:val="baseline"/>
          <w:lang w:val="en-US" w:eastAsia="zh-CN"/>
        </w:rPr>
        <w:t>7</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年增加了行政管理事务等项目资金。其中：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218" w:leftChars="104" w:right="0" w:firstLine="410"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 社会保障和就业（类）行政事业单位离退休（款）未归口管理的行政单位离退休（项）。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62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90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750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w:t>
      </w:r>
      <w:r>
        <w:rPr>
          <w:rFonts w:hint="eastAsia" w:asciiTheme="minorEastAsia" w:hAnsiTheme="minorEastAsia" w:cstheme="minorEastAsia"/>
          <w:i w:val="0"/>
          <w:caps w:val="0"/>
          <w:color w:val="373737"/>
          <w:spacing w:val="0"/>
          <w:sz w:val="28"/>
          <w:szCs w:val="28"/>
          <w:shd w:val="clear" w:fill="FFFFFF"/>
          <w:vertAlign w:val="baseline"/>
          <w:lang w:eastAsia="zh-CN"/>
        </w:rPr>
        <w:t>人数增加，</w:t>
      </w:r>
      <w:r>
        <w:rPr>
          <w:rFonts w:hint="eastAsia" w:asciiTheme="minorEastAsia" w:hAnsiTheme="minorEastAsia" w:eastAsiaTheme="minorEastAsia" w:cstheme="minorEastAsia"/>
          <w:i w:val="0"/>
          <w:caps w:val="0"/>
          <w:color w:val="373737"/>
          <w:spacing w:val="0"/>
          <w:sz w:val="28"/>
          <w:szCs w:val="28"/>
          <w:shd w:val="clear" w:fill="FFFFFF"/>
          <w:vertAlign w:val="baseline"/>
        </w:rPr>
        <w:t>工资增长了。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 医疗卫生和计划生育（类）医疗保障（款）行政单位医疗（项）。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62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12</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4</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33</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于预算数的主要原因在职职工增长了工资，201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年离退休职工</w:t>
      </w:r>
      <w:r>
        <w:rPr>
          <w:rFonts w:hint="eastAsia" w:asciiTheme="minorEastAsia" w:hAnsiTheme="minorEastAsia" w:cstheme="minorEastAsia"/>
          <w:i w:val="0"/>
          <w:caps w:val="0"/>
          <w:color w:val="373737"/>
          <w:spacing w:val="0"/>
          <w:sz w:val="28"/>
          <w:szCs w:val="28"/>
          <w:shd w:val="clear" w:fill="FFFFFF"/>
          <w:vertAlign w:val="baseline"/>
          <w:lang w:eastAsia="zh-CN"/>
        </w:rPr>
        <w:t>人数增加，</w:t>
      </w:r>
      <w:r>
        <w:rPr>
          <w:rFonts w:hint="eastAsia" w:asciiTheme="minorEastAsia" w:hAnsiTheme="minorEastAsia" w:eastAsiaTheme="minorEastAsia" w:cstheme="minorEastAsia"/>
          <w:i w:val="0"/>
          <w:caps w:val="0"/>
          <w:color w:val="373737"/>
          <w:spacing w:val="0"/>
          <w:sz w:val="28"/>
          <w:szCs w:val="28"/>
          <w:shd w:val="clear" w:fill="FFFFFF"/>
          <w:vertAlign w:val="baseline"/>
        </w:rPr>
        <w:t>使医疗保险的缴交比例</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eastAsiaTheme="minorEastAsia" w:cstheme="minorEastAsia"/>
          <w:i w:val="0"/>
          <w:caps w:val="0"/>
          <w:color w:val="373737"/>
          <w:spacing w:val="0"/>
          <w:sz w:val="28"/>
          <w:szCs w:val="28"/>
          <w:shd w:val="clear" w:fill="FFFFFF"/>
          <w:vertAlign w:val="baseline"/>
        </w:rPr>
        <w:t>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lang w:eastAsia="zh-CN"/>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 农林水（类）农业（款）行政运行（项）。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62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370</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%。决算数大于预算数的主要原因是201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年增加了行政管理事务等项目资金。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4. 住房保障（类）住房改革支出（款）住房公积金（项）。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5" w:leftChars="0" w:right="0" w:firstLine="640"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年初预算为</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7.5</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万元，完成年初预算的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94</w:t>
      </w:r>
      <w:r>
        <w:rPr>
          <w:rFonts w:hint="eastAsia" w:asciiTheme="minorEastAsia" w:hAnsiTheme="minorEastAsia" w:eastAsiaTheme="minorEastAsia" w:cstheme="minorEastAsia"/>
          <w:i w:val="0"/>
          <w:caps w:val="0"/>
          <w:color w:val="373737"/>
          <w:spacing w:val="0"/>
          <w:sz w:val="28"/>
          <w:szCs w:val="28"/>
          <w:shd w:val="clear" w:fill="FFFFFF"/>
          <w:vertAlign w:val="baseline"/>
        </w:rPr>
        <w:t>%。决算数</w:t>
      </w:r>
      <w:r>
        <w:rPr>
          <w:rFonts w:hint="eastAsia" w:asciiTheme="minorEastAsia" w:hAnsiTheme="minorEastAsia" w:cstheme="minorEastAsia"/>
          <w:i w:val="0"/>
          <w:caps w:val="0"/>
          <w:color w:val="373737"/>
          <w:spacing w:val="0"/>
          <w:sz w:val="28"/>
          <w:szCs w:val="28"/>
          <w:shd w:val="clear" w:fill="FFFFFF"/>
          <w:vertAlign w:val="baseline"/>
          <w:lang w:eastAsia="zh-CN"/>
        </w:rPr>
        <w:t>小</w:t>
      </w:r>
      <w:r>
        <w:rPr>
          <w:rFonts w:hint="eastAsia" w:asciiTheme="minorEastAsia" w:hAnsiTheme="minorEastAsia" w:eastAsiaTheme="minorEastAsia" w:cstheme="minorEastAsia"/>
          <w:i w:val="0"/>
          <w:caps w:val="0"/>
          <w:color w:val="373737"/>
          <w:spacing w:val="0"/>
          <w:sz w:val="28"/>
          <w:szCs w:val="28"/>
          <w:shd w:val="clear" w:fill="FFFFFF"/>
          <w:vertAlign w:val="baseline"/>
        </w:rPr>
        <w:t>于预算数的主要原因是201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年在职职工</w:t>
      </w:r>
      <w:r>
        <w:rPr>
          <w:rFonts w:hint="eastAsia" w:asciiTheme="minorEastAsia" w:hAnsiTheme="minorEastAsia" w:cstheme="minorEastAsia"/>
          <w:i w:val="0"/>
          <w:caps w:val="0"/>
          <w:color w:val="373737"/>
          <w:spacing w:val="0"/>
          <w:sz w:val="28"/>
          <w:szCs w:val="28"/>
          <w:shd w:val="clear" w:fill="FFFFFF"/>
          <w:vertAlign w:val="baseline"/>
          <w:lang w:eastAsia="zh-CN"/>
        </w:rPr>
        <w:t>人数减少</w:t>
      </w:r>
      <w:r>
        <w:rPr>
          <w:rFonts w:hint="eastAsia" w:asciiTheme="minorEastAsia" w:hAnsiTheme="minorEastAsia" w:eastAsiaTheme="minorEastAsia" w:cstheme="minorEastAsia"/>
          <w:i w:val="0"/>
          <w:caps w:val="0"/>
          <w:color w:val="373737"/>
          <w:spacing w:val="0"/>
          <w:sz w:val="28"/>
          <w:szCs w:val="28"/>
          <w:shd w:val="clear" w:fill="FFFFFF"/>
          <w:vertAlign w:val="baseline"/>
        </w:rPr>
        <w:t>，使住房公积金的缴交比例增加了。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65" w:right="0" w:firstLine="480"/>
        <w:jc w:val="left"/>
        <w:textAlignment w:val="baseline"/>
        <w:rPr>
          <w:rFonts w:hint="eastAsia" w:asciiTheme="minorEastAsia" w:hAnsiTheme="minorEastAsia" w:eastAsiaTheme="minorEastAsia" w:cstheme="minorEastAsia"/>
          <w:i w:val="0"/>
          <w:caps w:val="0"/>
          <w:color w:val="333333"/>
          <w:spacing w:val="0"/>
          <w:sz w:val="28"/>
          <w:szCs w:val="28"/>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270" w:firstLine="31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六、201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年度一般公共预算财政拨款基本支出决算情况说明。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105"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年度财政拨款基本支出</w:t>
      </w:r>
      <w:r>
        <w:rPr>
          <w:rFonts w:hint="eastAsia" w:asciiTheme="minorEastAsia" w:hAnsiTheme="minorEastAsia" w:cstheme="minorEastAsia"/>
          <w:i w:val="0"/>
          <w:caps w:val="0"/>
          <w:color w:val="373737"/>
          <w:spacing w:val="0"/>
          <w:sz w:val="28"/>
          <w:szCs w:val="28"/>
          <w:shd w:val="clear" w:fill="FFFFFF"/>
          <w:vertAlign w:val="baseline"/>
          <w:lang w:val="en-US" w:eastAsia="zh-CN"/>
        </w:rPr>
        <w:t>936</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万元，其中：人员经费</w:t>
      </w:r>
      <w:r>
        <w:rPr>
          <w:rFonts w:hint="eastAsia" w:asciiTheme="minorEastAsia" w:hAnsiTheme="minorEastAsia" w:cstheme="minorEastAsia"/>
          <w:i w:val="0"/>
          <w:caps w:val="0"/>
          <w:color w:val="373737"/>
          <w:spacing w:val="0"/>
          <w:sz w:val="28"/>
          <w:szCs w:val="28"/>
          <w:shd w:val="clear" w:fill="FFFFFF"/>
          <w:vertAlign w:val="baseline"/>
          <w:lang w:val="en-US" w:eastAsia="zh-CN"/>
        </w:rPr>
        <w:t>299</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基本工资、津贴补贴、奖金、其他社会保障缴费、伙食补助费、其他工资福利支出、离休费、退休费、医疗费、奖励金、住房公积金、提租补贴、采暖补贴、其他对个人和家庭的补助支出；公用经费</w:t>
      </w:r>
      <w:r>
        <w:rPr>
          <w:rFonts w:hint="eastAsia" w:asciiTheme="minorEastAsia" w:hAnsiTheme="minorEastAsia" w:cstheme="minorEastAsia"/>
          <w:i w:val="0"/>
          <w:caps w:val="0"/>
          <w:color w:val="373737"/>
          <w:spacing w:val="0"/>
          <w:sz w:val="28"/>
          <w:szCs w:val="28"/>
          <w:shd w:val="clear" w:fill="FFFFFF"/>
          <w:vertAlign w:val="baseline"/>
          <w:lang w:val="en-US" w:eastAsia="zh-CN"/>
        </w:rPr>
        <w:t>637</w:t>
      </w:r>
      <w:r>
        <w:rPr>
          <w:rFonts w:hint="eastAsia" w:asciiTheme="minorEastAsia" w:hAnsiTheme="minorEastAsia" w:eastAsiaTheme="minorEastAsia" w:cstheme="minorEastAsia"/>
          <w:i w:val="0"/>
          <w:caps w:val="0"/>
          <w:color w:val="373737"/>
          <w:spacing w:val="0"/>
          <w:sz w:val="28"/>
          <w:szCs w:val="28"/>
          <w:shd w:val="clear" w:fill="FFFFFF"/>
          <w:vertAlign w:val="baseline"/>
        </w:rPr>
        <w:t>万元，主要包括：办公费、印刷费、水费、电费、邮电费、取暖费、物业费、差旅费、维修（护）费、专用材料费、劳务费、工会经费、福利费、其他交通费用、办公设备购置。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255" w:right="27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七、201</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8</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年度一般公共预算财政拨款“三公”经费支出决算情况说明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（一）“三公”经费财政拨款支出决算总体情况说明。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leftChars="0" w:right="0" w:firstLine="576" w:firstLineChars="206"/>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cstheme="minorEastAsia"/>
          <w:i w:val="0"/>
          <w:caps w:val="0"/>
          <w:color w:val="373737"/>
          <w:spacing w:val="0"/>
          <w:sz w:val="28"/>
          <w:szCs w:val="28"/>
          <w:shd w:val="clear" w:fill="FFFFFF"/>
          <w:vertAlign w:val="baseline"/>
          <w:lang w:val="en-US" w:eastAsia="zh-CN"/>
        </w:rPr>
        <w:t>2018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年度“三公”经费财政拨款支出预算为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0.07</w:t>
      </w:r>
      <w:r>
        <w:rPr>
          <w:rFonts w:hint="eastAsia" w:asciiTheme="minorEastAsia" w:hAnsiTheme="minorEastAsia" w:eastAsiaTheme="minorEastAsia" w:cstheme="minorEastAsia"/>
          <w:i w:val="0"/>
          <w:caps w:val="0"/>
          <w:color w:val="373737"/>
          <w:spacing w:val="0"/>
          <w:sz w:val="28"/>
          <w:szCs w:val="28"/>
          <w:shd w:val="clear" w:fill="FFFFFF"/>
          <w:vertAlign w:val="baseline"/>
        </w:rPr>
        <w:t>万元，支出决算为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 </w:t>
      </w:r>
      <w:r>
        <w:rPr>
          <w:rFonts w:hint="eastAsia" w:asciiTheme="minorEastAsia" w:hAnsiTheme="minorEastAsia" w:eastAsiaTheme="minorEastAsia" w:cstheme="minorEastAsia"/>
          <w:i w:val="0"/>
          <w:caps w:val="0"/>
          <w:color w:val="373737"/>
          <w:spacing w:val="0"/>
          <w:sz w:val="28"/>
          <w:szCs w:val="28"/>
          <w:shd w:val="clear" w:fill="FFFFFF"/>
          <w:vertAlign w:val="baseline"/>
        </w:rPr>
        <w:t>%，其中：因公出国（境）费支出决算为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%；公务用车购置及运行费支出决算为</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万元，完成预算的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年度“三公”经费支出决算数与预算数持平。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17" w:leftChars="8" w:right="0" w:firstLine="625" w:firstLineChars="0"/>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年度“三公”经费财政拨款支出决算数比</w:t>
      </w:r>
      <w:r>
        <w:rPr>
          <w:rFonts w:hint="eastAsia" w:asciiTheme="minorEastAsia" w:hAnsiTheme="minorEastAsia" w:cstheme="minorEastAsia"/>
          <w:i w:val="0"/>
          <w:caps w:val="0"/>
          <w:color w:val="373737"/>
          <w:spacing w:val="0"/>
          <w:sz w:val="28"/>
          <w:szCs w:val="28"/>
          <w:shd w:val="clear" w:fill="FFFFFF"/>
          <w:vertAlign w:val="baseline"/>
          <w:lang w:eastAsia="zh-CN"/>
        </w:rPr>
        <w:t>上</w:t>
      </w:r>
      <w:r>
        <w:rPr>
          <w:rFonts w:hint="eastAsia" w:asciiTheme="minorEastAsia" w:hAnsiTheme="minorEastAsia" w:eastAsiaTheme="minorEastAsia" w:cstheme="minorEastAsia"/>
          <w:i w:val="0"/>
          <w:caps w:val="0"/>
          <w:color w:val="373737"/>
          <w:spacing w:val="0"/>
          <w:sz w:val="28"/>
          <w:szCs w:val="28"/>
          <w:shd w:val="clear" w:fill="FFFFFF"/>
          <w:vertAlign w:val="baseline"/>
        </w:rPr>
        <w:t>年增</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0.01</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14</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Fonts w:hint="eastAsia" w:asciiTheme="minorEastAsia" w:hAnsiTheme="minorEastAsia" w:cstheme="minorEastAsia"/>
          <w:i w:val="0"/>
          <w:caps w:val="0"/>
          <w:color w:val="373737"/>
          <w:spacing w:val="0"/>
          <w:sz w:val="28"/>
          <w:szCs w:val="28"/>
          <w:shd w:val="clear" w:fill="FFFFFF"/>
          <w:vertAlign w:val="baseline"/>
          <w:lang w:eastAsia="zh-CN"/>
        </w:rPr>
        <w:t>减少</w:t>
      </w:r>
      <w:r>
        <w:rPr>
          <w:rFonts w:hint="eastAsia" w:asciiTheme="minorEastAsia" w:hAnsiTheme="minorEastAsia" w:cstheme="minorEastAsia"/>
          <w:i w:val="0"/>
          <w:caps w:val="0"/>
          <w:color w:val="373737"/>
          <w:spacing w:val="0"/>
          <w:sz w:val="28"/>
          <w:szCs w:val="28"/>
          <w:shd w:val="clear" w:fill="FFFFFF"/>
          <w:vertAlign w:val="baseline"/>
          <w:lang w:val="en-US" w:eastAsia="zh-CN"/>
        </w:rPr>
        <w:t xml:space="preserve"> 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部门严格执行三公经费缩减，车改后车辆上交</w:t>
      </w:r>
      <w:r>
        <w:rPr>
          <w:rFonts w:hint="eastAsia" w:asciiTheme="minorEastAsia" w:hAnsiTheme="minorEastAsia" w:eastAsiaTheme="minorEastAsia" w:cstheme="minorEastAsia"/>
          <w:i w:val="0"/>
          <w:caps w:val="0"/>
          <w:color w:val="373737"/>
          <w:spacing w:val="0"/>
          <w:sz w:val="28"/>
          <w:szCs w:val="28"/>
          <w:shd w:val="clear" w:fill="FFFFFF"/>
          <w:vertAlign w:val="baseline"/>
        </w:rPr>
        <w:t>；公务接待费支出决算0万元，增长</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%，原因为：</w:t>
      </w:r>
      <w:r>
        <w:rPr>
          <w:rFonts w:hint="eastAsia" w:asciiTheme="minorEastAsia" w:hAnsiTheme="minorEastAsia" w:cstheme="minorEastAsia"/>
          <w:i w:val="0"/>
          <w:caps w:val="0"/>
          <w:color w:val="373737"/>
          <w:spacing w:val="0"/>
          <w:sz w:val="28"/>
          <w:szCs w:val="28"/>
          <w:shd w:val="clear" w:fill="FFFFFF"/>
          <w:vertAlign w:val="baseline"/>
          <w:lang w:eastAsia="zh-CN"/>
        </w:rPr>
        <w:t>严格按照上级标准，缩减公务接待开支</w:t>
      </w:r>
      <w:r>
        <w:rPr>
          <w:rFonts w:hint="eastAsia" w:asciiTheme="minorEastAsia" w:hAnsiTheme="minorEastAsia" w:eastAsiaTheme="minorEastAsia" w:cstheme="minorEastAsia"/>
          <w:i w:val="0"/>
          <w:caps w:val="0"/>
          <w:color w:val="373737"/>
          <w:spacing w:val="0"/>
          <w:sz w:val="28"/>
          <w:szCs w:val="28"/>
          <w:shd w:val="clear" w:fill="FFFFFF"/>
          <w:vertAlign w:val="baseline"/>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（二）“三公”经费财政拨款支出决算具体情况说明。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201</w:t>
      </w:r>
      <w:r>
        <w:rPr>
          <w:rFonts w:hint="eastAsia" w:asciiTheme="minorEastAsia" w:hAnsiTheme="minorEastAsia" w:cstheme="minorEastAsia"/>
          <w:i w:val="0"/>
          <w:caps w:val="0"/>
          <w:color w:val="373737"/>
          <w:spacing w:val="0"/>
          <w:sz w:val="28"/>
          <w:szCs w:val="28"/>
          <w:shd w:val="clear" w:fill="FFFFFF"/>
          <w:vertAlign w:val="baseline"/>
          <w:lang w:val="en-US" w:eastAsia="zh-CN"/>
        </w:rPr>
        <w:t>8</w:t>
      </w:r>
      <w:r>
        <w:rPr>
          <w:rFonts w:hint="eastAsia" w:asciiTheme="minorEastAsia" w:hAnsiTheme="minorEastAsia" w:eastAsiaTheme="minorEastAsia" w:cstheme="minorEastAsia"/>
          <w:i w:val="0"/>
          <w:caps w:val="0"/>
          <w:color w:val="373737"/>
          <w:spacing w:val="0"/>
          <w:sz w:val="28"/>
          <w:szCs w:val="28"/>
          <w:shd w:val="clear" w:fill="FFFFFF"/>
          <w:vertAlign w:val="baseline"/>
        </w:rPr>
        <w:t>年度“三公”经费财政拨款支出决算中，因公出国（境）费支出决算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%；公务用车购置及运行费支出决算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万元，占%；公务接待费支出决算</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 xml:space="preserve">  </w:t>
      </w:r>
      <w:r>
        <w:rPr>
          <w:rFonts w:hint="eastAsia" w:asciiTheme="minorEastAsia" w:hAnsiTheme="minorEastAsia" w:eastAsiaTheme="minorEastAsia" w:cstheme="minorEastAsia"/>
          <w:i w:val="0"/>
          <w:caps w:val="0"/>
          <w:color w:val="373737"/>
          <w:spacing w:val="0"/>
          <w:sz w:val="28"/>
          <w:szCs w:val="28"/>
          <w:shd w:val="clear" w:fill="FFFFFF"/>
          <w:vertAlign w:val="baseline"/>
        </w:rPr>
        <w:t>万元，占%。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855"/>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1.因公出国（境）费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cstheme="minorEastAsia"/>
          <w:b/>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万元。全年安排因公出国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45"/>
        <w:jc w:val="left"/>
        <w:textAlignment w:val="baseline"/>
        <w:rPr>
          <w:rFonts w:hint="eastAsia" w:asciiTheme="minorEastAsia" w:hAnsiTheme="minorEastAsia" w:eastAsiaTheme="minorEastAsia" w:cstheme="minorEastAsia"/>
          <w:i w:val="0"/>
          <w:caps w:val="0"/>
          <w:color w:val="333333"/>
          <w:spacing w:val="0"/>
          <w:sz w:val="28"/>
          <w:szCs w:val="28"/>
        </w:rPr>
      </w:pPr>
      <w:r>
        <w:rPr>
          <w:rFonts w:hint="eastAsia" w:asciiTheme="minorEastAsia" w:hAnsiTheme="minorEastAsia" w:eastAsiaTheme="minorEastAsia" w:cstheme="minorEastAsia"/>
          <w:i w:val="0"/>
          <w:caps w:val="0"/>
          <w:color w:val="373737"/>
          <w:spacing w:val="0"/>
          <w:sz w:val="28"/>
          <w:szCs w:val="28"/>
          <w:shd w:val="clear" w:fill="FFFFFF"/>
          <w:vertAlign w:val="baseline"/>
        </w:rPr>
        <w:t>（境）团组</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个，累计</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人次。开支内容包括：出国人员差旅费</w:t>
      </w:r>
      <w:r>
        <w:rPr>
          <w:rFonts w:hint="eastAsia" w:asciiTheme="minorEastAsia" w:hAnsiTheme="minorEastAsia" w:cstheme="minorEastAsia"/>
          <w:i w:val="0"/>
          <w:caps w:val="0"/>
          <w:color w:val="373737"/>
          <w:spacing w:val="0"/>
          <w:sz w:val="28"/>
          <w:szCs w:val="28"/>
          <w:shd w:val="clear" w:fill="FFFFFF"/>
          <w:vertAlign w:val="baseline"/>
          <w:lang w:val="en-US" w:eastAsia="zh-CN"/>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2.公务用车购置及运行费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公务用车购置</w:t>
      </w:r>
      <w:r>
        <w:rPr>
          <w:rFonts w:hint="eastAsia" w:asciiTheme="minorEastAsia" w:hAnsiTheme="minorEastAsia" w:eastAsiaTheme="minorEastAsia" w:cstheme="minorEastAsia"/>
          <w:i w:val="0"/>
          <w:caps w:val="0"/>
          <w:color w:val="373737"/>
          <w:spacing w:val="0"/>
          <w:sz w:val="28"/>
          <w:szCs w:val="28"/>
          <w:shd w:val="clear" w:fill="FFFFFF"/>
          <w:vertAlign w:val="baseline"/>
        </w:rPr>
        <w:t>支出为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公务用车运行</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公务用车保有量0</w:t>
      </w:r>
      <w:r>
        <w:rPr>
          <w:rFonts w:hint="eastAsia" w:asciiTheme="minorEastAsia" w:hAnsiTheme="minorEastAsia" w:eastAsiaTheme="minorEastAsia" w:cstheme="minorEastAsia"/>
          <w:i w:val="0"/>
          <w:caps w:val="0"/>
          <w:color w:val="373737"/>
          <w:spacing w:val="0"/>
          <w:sz w:val="28"/>
          <w:szCs w:val="28"/>
          <w:shd w:val="clear" w:fill="FFFFFF"/>
          <w:vertAlign w:val="baseline"/>
        </w:rPr>
        <w:t>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25" w:afterAutospacing="0"/>
        <w:ind w:left="0" w:right="0" w:firstLine="630"/>
        <w:jc w:val="left"/>
        <w:textAlignment w:val="baseline"/>
        <w:rPr>
          <w:rFonts w:hint="eastAsia" w:asciiTheme="minorEastAsia" w:hAnsiTheme="minorEastAsia" w:eastAsiaTheme="minorEastAsia" w:cstheme="minorEastAsia"/>
          <w:i w:val="0"/>
          <w:caps w:val="0"/>
          <w:color w:val="333333"/>
          <w:spacing w:val="0"/>
          <w:sz w:val="28"/>
          <w:szCs w:val="28"/>
        </w:rPr>
      </w:pP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3.公务接待费</w:t>
      </w:r>
      <w:r>
        <w:rPr>
          <w:rFonts w:hint="eastAsia" w:asciiTheme="minorEastAsia" w:hAnsiTheme="minorEastAsia" w:eastAsiaTheme="minorEastAsia" w:cstheme="minorEastAsia"/>
          <w:i w:val="0"/>
          <w:caps w:val="0"/>
          <w:color w:val="373737"/>
          <w:spacing w:val="0"/>
          <w:sz w:val="28"/>
          <w:szCs w:val="28"/>
          <w:shd w:val="clear" w:fill="FFFFFF"/>
          <w:vertAlign w:val="baseline"/>
        </w:rPr>
        <w:t>支出</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万元。其中：国内公务接待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万元，国内公务接待批次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个，国内公务接待人次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人；国（境）外公务接待</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万元，国（境）外公务接待批次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个，国（境）外公务接待人次</w:t>
      </w:r>
      <w:r>
        <w:rPr>
          <w:rStyle w:val="4"/>
          <w:rFonts w:hint="eastAsia" w:asciiTheme="minorEastAsia" w:hAnsiTheme="minorEastAsia" w:eastAsiaTheme="minorEastAsia" w:cstheme="minorEastAsia"/>
          <w:b/>
          <w:i w:val="0"/>
          <w:caps w:val="0"/>
          <w:color w:val="373737"/>
          <w:spacing w:val="0"/>
          <w:sz w:val="28"/>
          <w:szCs w:val="28"/>
          <w:shd w:val="clear" w:fill="FFFFFF"/>
          <w:vertAlign w:val="baseline"/>
        </w:rPr>
        <w:t>0</w:t>
      </w:r>
      <w:r>
        <w:rPr>
          <w:rFonts w:hint="eastAsia" w:asciiTheme="minorEastAsia" w:hAnsiTheme="minorEastAsia" w:eastAsiaTheme="minorEastAsia" w:cstheme="minorEastAsia"/>
          <w:i w:val="0"/>
          <w:caps w:val="0"/>
          <w:color w:val="373737"/>
          <w:spacing w:val="0"/>
          <w:sz w:val="28"/>
          <w:szCs w:val="28"/>
          <w:shd w:val="clear" w:fill="FFFFFF"/>
          <w:vertAlign w:val="baseline"/>
        </w:rPr>
        <w:t>人。</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八、其他重要事项的情况说明</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（一）机关运行经费支出情况。</w:t>
      </w:r>
    </w:p>
    <w:p>
      <w:pPr>
        <w:pStyle w:val="2"/>
        <w:keepNext w:val="0"/>
        <w:keepLines w:val="0"/>
        <w:widowControl/>
        <w:suppressLineNumbers w:val="0"/>
        <w:spacing w:before="180" w:beforeAutospacing="0" w:after="360" w:afterAutospacing="0" w:line="450" w:lineRule="atLeast"/>
        <w:ind w:left="0" w:right="0" w:firstLine="848"/>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本部门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 xml:space="preserve">年度机关运行经费支出 </w:t>
      </w:r>
      <w:r>
        <w:rPr>
          <w:rFonts w:hint="eastAsia" w:asciiTheme="minorEastAsia" w:hAnsiTheme="minorEastAsia" w:cstheme="minorEastAsia"/>
          <w:color w:val="333333"/>
          <w:sz w:val="28"/>
          <w:szCs w:val="28"/>
          <w:lang w:val="en-US" w:eastAsia="zh-CN"/>
        </w:rPr>
        <w:t>637</w:t>
      </w:r>
      <w:r>
        <w:rPr>
          <w:rFonts w:hint="eastAsia" w:asciiTheme="minorEastAsia" w:hAnsiTheme="minorEastAsia" w:eastAsiaTheme="minorEastAsia" w:cstheme="minorEastAsia"/>
          <w:color w:val="333333"/>
          <w:sz w:val="28"/>
          <w:szCs w:val="28"/>
        </w:rPr>
        <w:t>万元（与部门决算中行政单位和参照公务员法管理事业单位一般公共预算财政拨款基本支出中公用经费之和保持一致），比</w:t>
      </w:r>
      <w:r>
        <w:rPr>
          <w:rFonts w:hint="eastAsia" w:asciiTheme="minorEastAsia" w:hAnsiTheme="minorEastAsia" w:cstheme="minorEastAsia"/>
          <w:color w:val="333333"/>
          <w:sz w:val="28"/>
          <w:szCs w:val="28"/>
          <w:lang w:eastAsia="zh-CN"/>
        </w:rPr>
        <w:t>上</w:t>
      </w:r>
      <w:r>
        <w:rPr>
          <w:rFonts w:hint="eastAsia" w:asciiTheme="minorEastAsia" w:hAnsiTheme="minorEastAsia" w:eastAsiaTheme="minorEastAsia" w:cstheme="minorEastAsia"/>
          <w:color w:val="333333"/>
          <w:sz w:val="28"/>
          <w:szCs w:val="28"/>
        </w:rPr>
        <w:t>年增加</w:t>
      </w:r>
      <w:r>
        <w:rPr>
          <w:rFonts w:hint="eastAsia" w:asciiTheme="minorEastAsia" w:hAnsiTheme="minorEastAsia" w:cstheme="minorEastAsia"/>
          <w:color w:val="333333"/>
          <w:sz w:val="28"/>
          <w:szCs w:val="28"/>
          <w:lang w:val="en-US" w:eastAsia="zh-CN"/>
        </w:rPr>
        <w:t>603</w:t>
      </w:r>
      <w:r>
        <w:rPr>
          <w:rFonts w:hint="eastAsia" w:asciiTheme="minorEastAsia" w:hAnsiTheme="minorEastAsia" w:eastAsiaTheme="minorEastAsia" w:cstheme="minorEastAsia"/>
          <w:color w:val="333333"/>
          <w:sz w:val="28"/>
          <w:szCs w:val="28"/>
        </w:rPr>
        <w:t xml:space="preserve"> 万元，增长</w:t>
      </w:r>
      <w:r>
        <w:rPr>
          <w:rFonts w:hint="eastAsia" w:asciiTheme="minorEastAsia" w:hAnsiTheme="minorEastAsia" w:cstheme="minorEastAsia"/>
          <w:color w:val="333333"/>
          <w:sz w:val="28"/>
          <w:szCs w:val="28"/>
          <w:lang w:val="en-US" w:eastAsia="zh-CN"/>
        </w:rPr>
        <w:t>533</w:t>
      </w:r>
      <w:r>
        <w:rPr>
          <w:rFonts w:hint="eastAsia" w:asciiTheme="minorEastAsia" w:hAnsiTheme="minorEastAsia" w:eastAsiaTheme="minorEastAsia" w:cstheme="minorEastAsia"/>
          <w:color w:val="333333"/>
          <w:sz w:val="28"/>
          <w:szCs w:val="28"/>
        </w:rPr>
        <w:t>%。主要原因是：</w:t>
      </w:r>
      <w:r>
        <w:rPr>
          <w:rFonts w:hint="eastAsia" w:asciiTheme="minorEastAsia" w:hAnsiTheme="minorEastAsia" w:cstheme="minorEastAsia"/>
          <w:color w:val="333333"/>
          <w:sz w:val="28"/>
          <w:szCs w:val="28"/>
          <w:lang w:eastAsia="zh-CN"/>
        </w:rPr>
        <w:t>基本建设项目增加，下属企业增加加工设备等，都进到行政管理事务中。</w:t>
      </w:r>
      <w:r>
        <w:rPr>
          <w:rFonts w:hint="eastAsia" w:asciiTheme="minorEastAsia" w:hAnsiTheme="minorEastAsia" w:eastAsiaTheme="minorEastAsia" w:cstheme="minorEastAsia"/>
          <w:color w:val="333333"/>
          <w:sz w:val="28"/>
          <w:szCs w:val="28"/>
        </w:rPr>
        <w:t>（具体增减原因由部门根据实际情况填列）。</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（二）政府采购支出情况。</w:t>
      </w:r>
    </w:p>
    <w:p>
      <w:pPr>
        <w:pStyle w:val="2"/>
        <w:keepNext w:val="0"/>
        <w:keepLines w:val="0"/>
        <w:widowControl/>
        <w:suppressLineNumbers w:val="0"/>
        <w:spacing w:before="180" w:beforeAutospacing="0" w:after="360" w:afterAutospacing="0" w:line="450" w:lineRule="atLeast"/>
        <w:ind w:left="0" w:right="0" w:firstLine="8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201</w:t>
      </w:r>
      <w:r>
        <w:rPr>
          <w:rFonts w:hint="eastAsia" w:asciiTheme="minorEastAsia" w:hAnsiTheme="minorEastAsia" w:cstheme="minorEastAsia"/>
          <w:color w:val="333333"/>
          <w:sz w:val="28"/>
          <w:szCs w:val="28"/>
          <w:lang w:val="en-US" w:eastAsia="zh-CN"/>
        </w:rPr>
        <w:t>7</w:t>
      </w:r>
      <w:r>
        <w:rPr>
          <w:rFonts w:hint="eastAsia" w:asciiTheme="minorEastAsia" w:hAnsiTheme="minorEastAsia" w:eastAsiaTheme="minorEastAsia" w:cstheme="minorEastAsia"/>
          <w:color w:val="333333"/>
          <w:sz w:val="28"/>
          <w:szCs w:val="28"/>
        </w:rPr>
        <w:t>年度政府采购支出总额</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万元，其中：政府采购货物支出</w:t>
      </w:r>
      <w:r>
        <w:rPr>
          <w:rFonts w:hint="eastAsia" w:asciiTheme="minorEastAsia" w:hAnsiTheme="minorEastAsia" w:eastAsiaTheme="minorEastAsia" w:cstheme="minorEastAsia"/>
          <w:color w:val="333333"/>
          <w:sz w:val="28"/>
          <w:szCs w:val="28"/>
          <w:lang w:val="en-US" w:eastAsia="zh-CN"/>
        </w:rPr>
        <w:t xml:space="preserve">  </w:t>
      </w:r>
      <w:r>
        <w:rPr>
          <w:rFonts w:hint="eastAsia" w:asciiTheme="minorEastAsia" w:hAnsiTheme="minorEastAsia" w:eastAsiaTheme="minorEastAsia" w:cstheme="minorEastAsia"/>
          <w:color w:val="333333"/>
          <w:sz w:val="28"/>
          <w:szCs w:val="28"/>
        </w:rPr>
        <w:t>万元、政府采购工程支出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万元、政府采购服务支出</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万元。</w:t>
      </w:r>
    </w:p>
    <w:p>
      <w:pPr>
        <w:pStyle w:val="2"/>
        <w:keepNext w:val="0"/>
        <w:keepLines w:val="0"/>
        <w:widowControl/>
        <w:suppressLineNumbers w:val="0"/>
        <w:spacing w:before="180" w:beforeAutospacing="0" w:after="360" w:afterAutospacing="0" w:line="450" w:lineRule="atLeast"/>
        <w:ind w:left="0" w:right="0" w:firstLine="63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（三）国有资产占用情况。</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截至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 12 月 31 日，本部门共有车辆</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辆，其中，一般公务用车 0 辆、一般执法执勤用</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辆、特种专业技术用车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辆，其他用车主要是办案用车；单位价值 50 万万元以上通用设备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台（套），单价100 万万元以上专用设备</w:t>
      </w:r>
      <w:r>
        <w:rPr>
          <w:rFonts w:hint="eastAsia" w:asciiTheme="minorEastAsia" w:hAnsiTheme="minorEastAsia" w:cstheme="minorEastAsia"/>
          <w:color w:val="333333"/>
          <w:sz w:val="28"/>
          <w:szCs w:val="28"/>
          <w:lang w:val="en-US" w:eastAsia="zh-CN"/>
        </w:rPr>
        <w:t>0</w:t>
      </w:r>
      <w:r>
        <w:rPr>
          <w:rFonts w:hint="eastAsia" w:asciiTheme="minorEastAsia" w:hAnsiTheme="minorEastAsia" w:eastAsiaTheme="minorEastAsia" w:cstheme="minorEastAsia"/>
          <w:color w:val="333333"/>
          <w:sz w:val="28"/>
          <w:szCs w:val="28"/>
        </w:rPr>
        <w:t>台（套）。</w:t>
      </w:r>
    </w:p>
    <w:p>
      <w:pPr>
        <w:pStyle w:val="2"/>
        <w:keepNext w:val="0"/>
        <w:keepLines w:val="0"/>
        <w:widowControl/>
        <w:suppressLineNumbers w:val="0"/>
        <w:spacing w:before="180" w:beforeAutospacing="0" w:after="360" w:afterAutospacing="0" w:line="450" w:lineRule="atLeast"/>
        <w:ind w:left="900" w:right="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（四）201</w:t>
      </w:r>
      <w:r>
        <w:rPr>
          <w:rFonts w:hint="eastAsia" w:asciiTheme="minorEastAsia" w:hAnsiTheme="minorEastAsia" w:cstheme="minorEastAsia"/>
          <w:b/>
          <w:color w:val="333333"/>
          <w:sz w:val="28"/>
          <w:szCs w:val="28"/>
          <w:lang w:val="en-US" w:eastAsia="zh-CN"/>
        </w:rPr>
        <w:t>8</w:t>
      </w:r>
      <w:r>
        <w:rPr>
          <w:rFonts w:hint="eastAsia" w:asciiTheme="minorEastAsia" w:hAnsiTheme="minorEastAsia" w:eastAsiaTheme="minorEastAsia" w:cstheme="minorEastAsia"/>
          <w:b/>
          <w:color w:val="333333"/>
          <w:sz w:val="28"/>
          <w:szCs w:val="28"/>
        </w:rPr>
        <w:t>年度预算绩效情况说明</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50" w:lineRule="atLeast"/>
        <w:ind w:left="0" w:right="0" w:rightChars="0" w:firstLine="560" w:firstLineChars="200"/>
        <w:jc w:val="left"/>
        <w:textAlignment w:val="auto"/>
        <w:outlineLvl w:val="9"/>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333333"/>
          <w:sz w:val="28"/>
          <w:szCs w:val="28"/>
        </w:rPr>
        <w:t>根据财政预算管理要求和年初设定的绩效目标，我单位组织对 201</w:t>
      </w:r>
      <w:r>
        <w:rPr>
          <w:rFonts w:hint="eastAsia" w:asciiTheme="minorEastAsia" w:hAnsiTheme="minorEastAsia" w:cstheme="minorEastAsia"/>
          <w:color w:val="333333"/>
          <w:sz w:val="28"/>
          <w:szCs w:val="28"/>
          <w:lang w:val="en-US" w:eastAsia="zh-CN"/>
        </w:rPr>
        <w:t>8</w:t>
      </w:r>
      <w:r>
        <w:rPr>
          <w:rFonts w:hint="eastAsia" w:asciiTheme="minorEastAsia" w:hAnsiTheme="minorEastAsia" w:eastAsiaTheme="minorEastAsia" w:cstheme="minorEastAsia"/>
          <w:color w:val="333333"/>
          <w:sz w:val="28"/>
          <w:szCs w:val="28"/>
        </w:rPr>
        <w:t>年度项目支出全面开展绩效自评。共涉及资金</w:t>
      </w:r>
      <w:r>
        <w:rPr>
          <w:rFonts w:hint="eastAsia" w:asciiTheme="minorEastAsia" w:hAnsiTheme="minorEastAsia" w:cstheme="minorEastAsia"/>
          <w:color w:val="333333"/>
          <w:sz w:val="28"/>
          <w:szCs w:val="28"/>
          <w:lang w:val="en-US" w:eastAsia="zh-CN"/>
        </w:rPr>
        <w:t>2065</w:t>
      </w:r>
      <w:r>
        <w:rPr>
          <w:rFonts w:hint="eastAsia" w:asciiTheme="minorEastAsia" w:hAnsiTheme="minorEastAsia" w:eastAsiaTheme="minorEastAsia" w:cstheme="minorEastAsia"/>
          <w:color w:val="333333"/>
          <w:sz w:val="28"/>
          <w:szCs w:val="28"/>
        </w:rPr>
        <w:t>万元，自评覆盖率达到100%。共组织对“</w:t>
      </w:r>
      <w:r>
        <w:rPr>
          <w:rFonts w:hint="eastAsia" w:asciiTheme="minorEastAsia" w:hAnsiTheme="minorEastAsia" w:eastAsiaTheme="minorEastAsia" w:cstheme="minorEastAsia"/>
          <w:color w:val="333333"/>
          <w:sz w:val="28"/>
          <w:szCs w:val="28"/>
          <w:lang w:val="en-US" w:eastAsia="zh-CN"/>
        </w:rPr>
        <w:t>xxx</w:t>
      </w:r>
      <w:r>
        <w:rPr>
          <w:rFonts w:hint="eastAsia" w:asciiTheme="minorEastAsia" w:hAnsiTheme="minorEastAsia" w:eastAsiaTheme="minorEastAsia" w:cstheme="minorEastAsia"/>
          <w:color w:val="333333"/>
          <w:sz w:val="28"/>
          <w:szCs w:val="28"/>
        </w:rPr>
        <w:t>”</w:t>
      </w:r>
      <w:r>
        <w:rPr>
          <w:rFonts w:hint="eastAsia" w:ascii="宋体" w:hAnsi="宋体" w:eastAsia="宋体" w:cs="宋体"/>
          <w:color w:val="333333"/>
          <w:sz w:val="32"/>
          <w:szCs w:val="32"/>
        </w:rPr>
        <w:t>“</w:t>
      </w:r>
      <w:r>
        <w:rPr>
          <w:rFonts w:hint="eastAsia" w:ascii="宋体" w:hAnsi="宋体" w:eastAsia="宋体" w:cs="宋体"/>
          <w:color w:val="333333"/>
          <w:sz w:val="32"/>
          <w:szCs w:val="32"/>
          <w:lang w:eastAsia="zh-CN"/>
        </w:rPr>
        <w:t>年初</w:t>
      </w:r>
      <w:r>
        <w:rPr>
          <w:rFonts w:hint="eastAsia" w:ascii="宋体" w:hAnsi="宋体" w:eastAsia="宋体" w:cs="宋体"/>
          <w:color w:val="333333"/>
          <w:sz w:val="32"/>
          <w:szCs w:val="32"/>
          <w:lang w:val="en-US" w:eastAsia="zh-CN"/>
        </w:rPr>
        <w:t>预算</w:t>
      </w:r>
      <w:r>
        <w:rPr>
          <w:rFonts w:hint="eastAsia" w:ascii="宋体" w:hAnsi="宋体" w:eastAsia="宋体" w:cs="宋体"/>
          <w:color w:val="333333"/>
          <w:sz w:val="32"/>
          <w:szCs w:val="32"/>
        </w:rPr>
        <w:t>”</w:t>
      </w:r>
      <w:r>
        <w:rPr>
          <w:rFonts w:hint="eastAsia" w:ascii="宋体" w:hAnsi="宋体" w:eastAsia="宋体" w:cs="宋体"/>
          <w:color w:val="333333"/>
          <w:sz w:val="32"/>
          <w:szCs w:val="32"/>
          <w:lang w:eastAsia="zh-CN"/>
        </w:rPr>
        <w:t>包括工资福利、商品服务、个人家庭和基本建设预算，</w:t>
      </w:r>
      <w:r>
        <w:rPr>
          <w:rFonts w:hint="eastAsia" w:ascii="宋体" w:hAnsi="宋体" w:eastAsia="宋体" w:cs="宋体"/>
          <w:color w:val="333333"/>
          <w:sz w:val="32"/>
          <w:szCs w:val="32"/>
        </w:rPr>
        <w:t xml:space="preserve">等 </w:t>
      </w:r>
      <w:r>
        <w:rPr>
          <w:rFonts w:hint="eastAsia" w:ascii="宋体" w:hAnsi="宋体" w:eastAsia="宋体" w:cs="宋体"/>
          <w:color w:val="333333"/>
          <w:sz w:val="32"/>
          <w:szCs w:val="32"/>
          <w:lang w:val="en-US" w:eastAsia="zh-CN"/>
        </w:rPr>
        <w:t>4</w:t>
      </w:r>
      <w:r>
        <w:rPr>
          <w:rFonts w:hint="eastAsia" w:ascii="宋体" w:hAnsi="宋体" w:eastAsia="宋体" w:cs="宋体"/>
          <w:color w:val="333333"/>
          <w:sz w:val="32"/>
          <w:szCs w:val="32"/>
        </w:rPr>
        <w:t xml:space="preserve"> 个项目进行了绩效评价，共涉及资金</w:t>
      </w:r>
      <w:r>
        <w:rPr>
          <w:rFonts w:hint="eastAsia" w:ascii="宋体" w:hAnsi="宋体" w:eastAsia="宋体" w:cs="宋体"/>
          <w:color w:val="333333"/>
          <w:sz w:val="32"/>
          <w:szCs w:val="32"/>
          <w:lang w:val="en-US" w:eastAsia="zh-CN"/>
        </w:rPr>
        <w:t xml:space="preserve"> 2065</w:t>
      </w:r>
      <w:r>
        <w:rPr>
          <w:rFonts w:hint="eastAsia" w:ascii="宋体" w:hAnsi="宋体" w:eastAsia="宋体" w:cs="宋体"/>
          <w:color w:val="333333"/>
          <w:sz w:val="32"/>
          <w:szCs w:val="32"/>
        </w:rPr>
        <w:t>万元</w:t>
      </w:r>
      <w:r>
        <w:rPr>
          <w:rFonts w:hint="eastAsia" w:ascii="宋体" w:hAnsi="宋体" w:eastAsia="宋体" w:cs="宋体"/>
          <w:color w:val="333333"/>
          <w:sz w:val="32"/>
          <w:szCs w:val="32"/>
          <w:lang w:eastAsia="zh-CN"/>
        </w:rPr>
        <w:t>。</w:t>
      </w:r>
    </w:p>
    <w:p>
      <w:pPr>
        <w:pStyle w:val="2"/>
        <w:keepNext w:val="0"/>
        <w:keepLines w:val="0"/>
        <w:widowControl/>
        <w:suppressLineNumbers w:val="0"/>
        <w:spacing w:before="180" w:beforeAutospacing="0" w:after="360" w:afterAutospacing="0" w:line="457"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第</w:t>
      </w:r>
      <w:r>
        <w:rPr>
          <w:rFonts w:hint="eastAsia" w:asciiTheme="minorEastAsia" w:hAnsiTheme="minorEastAsia" w:eastAsiaTheme="minorEastAsia" w:cstheme="minorEastAsia"/>
          <w:b/>
          <w:color w:val="333333"/>
          <w:sz w:val="28"/>
          <w:szCs w:val="28"/>
          <w:lang w:eastAsia="zh-CN"/>
        </w:rPr>
        <w:t>三</w:t>
      </w:r>
      <w:r>
        <w:rPr>
          <w:rFonts w:hint="eastAsia" w:asciiTheme="minorEastAsia" w:hAnsiTheme="minorEastAsia" w:eastAsiaTheme="minorEastAsia" w:cstheme="minorEastAsia"/>
          <w:b/>
          <w:color w:val="333333"/>
          <w:sz w:val="28"/>
          <w:szCs w:val="28"/>
        </w:rPr>
        <w:t>部分 名词解释</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一、财政拨款收入</w:t>
      </w:r>
      <w:r>
        <w:rPr>
          <w:rFonts w:hint="eastAsia" w:asciiTheme="minorEastAsia" w:hAnsiTheme="minorEastAsia" w:eastAsiaTheme="minorEastAsia" w:cstheme="minorEastAsia"/>
          <w:color w:val="333333"/>
          <w:sz w:val="28"/>
          <w:szCs w:val="28"/>
        </w:rPr>
        <w:t>：指</w:t>
      </w:r>
      <w:r>
        <w:rPr>
          <w:rFonts w:hint="eastAsia" w:asciiTheme="minorEastAsia" w:hAnsiTheme="minorEastAsia" w:eastAsiaTheme="minorEastAsia" w:cstheme="minorEastAsia"/>
          <w:color w:val="333333"/>
          <w:sz w:val="28"/>
          <w:szCs w:val="28"/>
          <w:lang w:eastAsia="zh-CN"/>
        </w:rPr>
        <w:t>县级</w:t>
      </w:r>
      <w:r>
        <w:rPr>
          <w:rFonts w:hint="eastAsia" w:asciiTheme="minorEastAsia" w:hAnsiTheme="minorEastAsia" w:eastAsiaTheme="minorEastAsia" w:cstheme="minorEastAsia"/>
          <w:color w:val="333333"/>
          <w:sz w:val="28"/>
          <w:szCs w:val="28"/>
        </w:rPr>
        <w:t>财政当年拨付的资金。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二、事业收入</w:t>
      </w:r>
      <w:r>
        <w:rPr>
          <w:rFonts w:hint="eastAsia" w:asciiTheme="minorEastAsia" w:hAnsiTheme="minorEastAsia" w:eastAsiaTheme="minorEastAsia" w:cstheme="minorEastAsia"/>
          <w:color w:val="333333"/>
          <w:sz w:val="28"/>
          <w:szCs w:val="28"/>
        </w:rPr>
        <w:t>：指事业单位开展专业业务活动及辅助活动所取得的收入。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三、经营收入</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：指事业单位在专业业务活动及其辅助活动之外开展非独立核算经营活动取得的收入。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四、其他收入</w:t>
      </w:r>
      <w:r>
        <w:rPr>
          <w:rFonts w:hint="eastAsia" w:asciiTheme="minorEastAsia" w:hAnsiTheme="minorEastAsia" w:eastAsiaTheme="minorEastAsia" w:cstheme="minorEastAsia"/>
          <w:color w:val="333333"/>
          <w:sz w:val="28"/>
          <w:szCs w:val="28"/>
        </w:rPr>
        <w:t>：指除上述“财政拨款收入”、“事业收入”、“经营收入”等以外的收入。</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五、用事业基金弥补收支差额</w:t>
      </w:r>
      <w:r>
        <w:rPr>
          <w:rFonts w:hint="eastAsia" w:asciiTheme="minorEastAsia" w:hAnsiTheme="minorEastAsia" w:eastAsiaTheme="minorEastAsia" w:cstheme="minorEastAsia"/>
          <w:color w:val="333333"/>
          <w:sz w:val="28"/>
          <w:szCs w:val="28"/>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六、年初结转和结余</w:t>
      </w:r>
      <w:r>
        <w:rPr>
          <w:rFonts w:hint="eastAsia" w:asciiTheme="minorEastAsia" w:hAnsiTheme="minorEastAsia" w:eastAsiaTheme="minorEastAsia" w:cstheme="minorEastAsia"/>
          <w:color w:val="333333"/>
          <w:sz w:val="28"/>
          <w:szCs w:val="28"/>
        </w:rPr>
        <w:t>：指以前年度尚未完成、结转到本年按有关规定继续使用的资金。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七、结余分配</w:t>
      </w:r>
      <w:r>
        <w:rPr>
          <w:rFonts w:hint="eastAsia" w:asciiTheme="minorEastAsia" w:hAnsiTheme="minorEastAsia" w:eastAsiaTheme="minorEastAsia" w:cstheme="minorEastAsia"/>
          <w:color w:val="333333"/>
          <w:sz w:val="28"/>
          <w:szCs w:val="28"/>
        </w:rPr>
        <w:t>：指事业单位按规定提取的职工福利基金、事业基金和缴纳的所得税，以及建设单位按规定应交回的基本建设竣工项目结余资金。</w:t>
      </w:r>
    </w:p>
    <w:p>
      <w:pPr>
        <w:pStyle w:val="2"/>
        <w:keepNext w:val="0"/>
        <w:keepLines w:val="0"/>
        <w:widowControl/>
        <w:suppressLineNumbers w:val="0"/>
        <w:spacing w:before="180" w:beforeAutospacing="0" w:after="360" w:afterAutospacing="0" w:line="450" w:lineRule="atLeast"/>
        <w:ind w:left="0" w:right="0" w:firstLine="851"/>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八、年末结转和结余</w:t>
      </w:r>
      <w:r>
        <w:rPr>
          <w:rFonts w:hint="eastAsia" w:asciiTheme="minorEastAsia" w:hAnsiTheme="minorEastAsia" w:eastAsiaTheme="minorEastAsia" w:cstheme="minorEastAsia"/>
          <w:color w:val="333333"/>
          <w:sz w:val="28"/>
          <w:szCs w:val="28"/>
        </w:rPr>
        <w:t>：指本年度或以前年度预算安排、因客观条件发生变化无法按原计划实施，需延迟到以后年度按有关规定继续使用的资金。</w:t>
      </w:r>
    </w:p>
    <w:p>
      <w:pPr>
        <w:pStyle w:val="2"/>
        <w:keepNext w:val="0"/>
        <w:keepLines w:val="0"/>
        <w:widowControl/>
        <w:suppressLineNumbers w:val="0"/>
        <w:spacing w:before="180" w:beforeAutospacing="0" w:after="360" w:afterAutospacing="0" w:line="450" w:lineRule="atLeast"/>
        <w:ind w:left="0" w:right="0" w:firstLine="89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九、基本支出</w:t>
      </w:r>
      <w:r>
        <w:rPr>
          <w:rFonts w:hint="eastAsia" w:asciiTheme="minorEastAsia" w:hAnsiTheme="minorEastAsia" w:eastAsiaTheme="minorEastAsia" w:cstheme="minorEastAsia"/>
          <w:color w:val="333333"/>
          <w:sz w:val="28"/>
          <w:szCs w:val="28"/>
        </w:rPr>
        <w:t>：指为保障机构正常运转、完成日常工作任务而发生的人员支出和公用支出。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十、项目支出</w:t>
      </w:r>
      <w:r>
        <w:rPr>
          <w:rFonts w:hint="eastAsia" w:asciiTheme="minorEastAsia" w:hAnsiTheme="minorEastAsia" w:eastAsiaTheme="minorEastAsia" w:cstheme="minorEastAsia"/>
          <w:color w:val="333333"/>
          <w:sz w:val="28"/>
          <w:szCs w:val="28"/>
        </w:rPr>
        <w:t>：指在基本支出之外为完成特定行政任务和事业发展目标所发生的支出。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十一、经营支出</w:t>
      </w:r>
      <w:r>
        <w:rPr>
          <w:rFonts w:hint="eastAsia" w:asciiTheme="minorEastAsia" w:hAnsiTheme="minorEastAsia" w:eastAsiaTheme="minorEastAsia" w:cstheme="minorEastAsia"/>
          <w:color w:val="333333"/>
          <w:sz w:val="28"/>
          <w:szCs w:val="28"/>
        </w:rPr>
        <w:t>：指事业单位在专业业务活动及其辅助活动之外开展非独立核算经营活动发生的支出。</w:t>
      </w:r>
    </w:p>
    <w:p>
      <w:pPr>
        <w:pStyle w:val="2"/>
        <w:keepNext w:val="0"/>
        <w:keepLines w:val="0"/>
        <w:widowControl/>
        <w:suppressLineNumbers w:val="0"/>
        <w:spacing w:before="180" w:beforeAutospacing="0" w:after="360" w:afterAutospacing="0" w:line="450" w:lineRule="atLeast"/>
        <w:ind w:left="0" w:right="0" w:firstLine="707"/>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十二、“三公”经费</w:t>
      </w:r>
      <w:r>
        <w:rPr>
          <w:rFonts w:hint="eastAsia" w:asciiTheme="minorEastAsia" w:hAnsiTheme="minorEastAsia" w:eastAsiaTheme="minorEastAsia" w:cstheme="minorEastAsia"/>
          <w:color w:val="333333"/>
          <w:sz w:val="28"/>
          <w:szCs w:val="28"/>
        </w:rPr>
        <w:t>：纳入</w:t>
      </w:r>
      <w:r>
        <w:rPr>
          <w:rFonts w:hint="eastAsia" w:asciiTheme="minorEastAsia" w:hAnsiTheme="minorEastAsia" w:eastAsiaTheme="minorEastAsia" w:cstheme="minorEastAsia"/>
          <w:color w:val="333333"/>
          <w:sz w:val="28"/>
          <w:szCs w:val="28"/>
          <w:lang w:eastAsia="zh-CN"/>
        </w:rPr>
        <w:t>县</w:t>
      </w:r>
      <w:r>
        <w:rPr>
          <w:rFonts w:hint="eastAsia" w:asciiTheme="minorEastAsia" w:hAnsiTheme="minorEastAsia" w:eastAsiaTheme="minorEastAsia" w:cstheme="minorEastAsia"/>
          <w:color w:val="333333"/>
          <w:sz w:val="28"/>
          <w:szCs w:val="28"/>
        </w:rPr>
        <w:t>级财政预决算管理的“三公”经费，是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pStyle w:val="2"/>
        <w:keepNext w:val="0"/>
        <w:keepLines w:val="0"/>
        <w:widowControl/>
        <w:suppressLineNumbers w:val="0"/>
        <w:spacing w:before="180" w:beforeAutospacing="0" w:after="360" w:afterAutospacing="0" w:line="450" w:lineRule="atLeast"/>
        <w:ind w:left="0" w:right="0" w:firstLine="729"/>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b/>
          <w:color w:val="333333"/>
          <w:sz w:val="28"/>
          <w:szCs w:val="28"/>
        </w:rPr>
        <w:t>十三、机关运行经费</w:t>
      </w:r>
      <w:r>
        <w:rPr>
          <w:rFonts w:hint="eastAsia" w:asciiTheme="minorEastAsia" w:hAnsiTheme="minorEastAsia" w:eastAsiaTheme="minorEastAsia" w:cstheme="minorEastAsia"/>
          <w:color w:val="333333"/>
          <w:sz w:val="28"/>
          <w:szCs w:val="28"/>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sectPr>
      <w:pgSz w:w="11906" w:h="16838"/>
      <w:pgMar w:top="1440" w:right="1800" w:bottom="1440" w:left="20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E7389C"/>
    <w:rsid w:val="01340F75"/>
    <w:rsid w:val="03FE7F0E"/>
    <w:rsid w:val="098217C0"/>
    <w:rsid w:val="0E980DC7"/>
    <w:rsid w:val="179B676B"/>
    <w:rsid w:val="1CFB22BC"/>
    <w:rsid w:val="2A054FEB"/>
    <w:rsid w:val="2DE7389C"/>
    <w:rsid w:val="2FC96941"/>
    <w:rsid w:val="3DDC6AB6"/>
    <w:rsid w:val="419008B3"/>
    <w:rsid w:val="47686803"/>
    <w:rsid w:val="62763A6A"/>
    <w:rsid w:val="6B6E45D7"/>
    <w:rsid w:val="6BC52739"/>
    <w:rsid w:val="763C3B43"/>
    <w:rsid w:val="768870B2"/>
    <w:rsid w:val="7BC22F3A"/>
    <w:rsid w:val="7D7733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FollowedHyperlink"/>
    <w:basedOn w:val="3"/>
    <w:qFormat/>
    <w:uiPriority w:val="0"/>
    <w:rPr>
      <w:color w:val="333333"/>
      <w:sz w:val="18"/>
      <w:szCs w:val="18"/>
      <w:u w:val="none"/>
    </w:rPr>
  </w:style>
  <w:style w:type="character" w:styleId="6">
    <w:name w:val="Emphasis"/>
    <w:basedOn w:val="3"/>
    <w:qFormat/>
    <w:uiPriority w:val="0"/>
    <w:rPr>
      <w:i/>
    </w:rPr>
  </w:style>
  <w:style w:type="character" w:styleId="7">
    <w:name w:val="Hyperlink"/>
    <w:basedOn w:val="3"/>
    <w:qFormat/>
    <w:uiPriority w:val="0"/>
    <w:rPr>
      <w:color w:val="333333"/>
      <w:sz w:val="18"/>
      <w:szCs w:val="18"/>
      <w:u w:val="none"/>
    </w:rPr>
  </w:style>
  <w:style w:type="character" w:customStyle="1" w:styleId="9">
    <w:name w:val="laiy"/>
    <w:basedOn w:val="3"/>
    <w:qFormat/>
    <w:uiPriority w:val="0"/>
  </w:style>
  <w:style w:type="character" w:customStyle="1" w:styleId="10">
    <w:name w:val="zuoz"/>
    <w:basedOn w:val="3"/>
    <w:qFormat/>
    <w:uiPriority w:val="0"/>
  </w:style>
  <w:style w:type="character" w:customStyle="1" w:styleId="11">
    <w:name w:val="update"/>
    <w:basedOn w:val="3"/>
    <w:qFormat/>
    <w:uiPriority w:val="0"/>
  </w:style>
  <w:style w:type="character" w:customStyle="1" w:styleId="12">
    <w:name w:val="hot1"/>
    <w:basedOn w:val="3"/>
    <w:qFormat/>
    <w:uiPriority w:val="0"/>
  </w:style>
  <w:style w:type="character" w:customStyle="1" w:styleId="13">
    <w:name w:val="td12"/>
    <w:basedOn w:val="3"/>
    <w:qFormat/>
    <w:uiPriority w:val="0"/>
    <w:rPr>
      <w:rFonts w:ascii="Arial" w:hAnsi="Arial" w:cs="Arial"/>
      <w:color w:val="FFFFFF"/>
      <w:sz w:val="16"/>
      <w:szCs w:val="16"/>
    </w:rPr>
  </w:style>
  <w:style w:type="character" w:customStyle="1" w:styleId="14">
    <w:name w:val="td22"/>
    <w:basedOn w:val="3"/>
    <w:uiPriority w:val="0"/>
  </w:style>
  <w:style w:type="character" w:customStyle="1" w:styleId="15">
    <w:name w:val="td32"/>
    <w:basedOn w:val="3"/>
    <w:qFormat/>
    <w:uiPriority w:val="0"/>
  </w:style>
  <w:style w:type="character" w:customStyle="1" w:styleId="16">
    <w:name w:val="home"/>
    <w:basedOn w:val="3"/>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2017-10-20T06:21:00Z</dcterms:created>
  <dc:creator>tianlinyu</dc:creator>
  <cp:lastModifiedBy>Administrator</cp:lastModifiedBy>
  <dcterms:modified xsi:type="dcterms:W3CDTF">2019-08-28T06:09:31Z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